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D4" w:rsidRPr="00E26EFA" w:rsidRDefault="003E17D4" w:rsidP="003E17D4">
      <w:pPr>
        <w:shd w:val="clear" w:color="auto" w:fill="FFFFFF"/>
        <w:jc w:val="center"/>
        <w:rPr>
          <w:b/>
          <w:sz w:val="22"/>
          <w:szCs w:val="22"/>
          <w:lang w:val="sr-Cyrl-CS"/>
        </w:rPr>
      </w:pPr>
      <w:bookmarkStart w:id="0" w:name="_GoBack"/>
      <w:bookmarkEnd w:id="0"/>
      <w:r w:rsidRPr="00E26EFA">
        <w:rPr>
          <w:b/>
          <w:sz w:val="22"/>
          <w:szCs w:val="22"/>
        </w:rPr>
        <w:t>ИЗЈАВА О УСКЛАЂЕНОСТИ ПРОПИСА С</w:t>
      </w:r>
      <w:r w:rsidRPr="00E26EFA">
        <w:rPr>
          <w:b/>
          <w:sz w:val="22"/>
          <w:szCs w:val="22"/>
          <w:lang w:val="sr-Cyrl-CS"/>
        </w:rPr>
        <w:t>А</w:t>
      </w:r>
      <w:r w:rsidRPr="00E26EFA">
        <w:rPr>
          <w:b/>
          <w:sz w:val="22"/>
          <w:szCs w:val="22"/>
        </w:rPr>
        <w:t xml:space="preserve"> </w:t>
      </w:r>
      <w:r w:rsidRPr="00E26EFA">
        <w:rPr>
          <w:b/>
          <w:sz w:val="22"/>
          <w:szCs w:val="22"/>
          <w:lang w:val="sr-Cyrl-CS"/>
        </w:rPr>
        <w:t>ПРОПИСИМА ЕВРОПСКЕ УНИЈЕ</w:t>
      </w:r>
    </w:p>
    <w:p w:rsidR="003E17D4" w:rsidRPr="00E26EFA" w:rsidRDefault="003E17D4" w:rsidP="003E17D4">
      <w:pPr>
        <w:shd w:val="clear" w:color="auto" w:fill="FFFFFF"/>
        <w:tabs>
          <w:tab w:val="left" w:pos="1221"/>
        </w:tabs>
        <w:rPr>
          <w:sz w:val="22"/>
          <w:szCs w:val="22"/>
          <w:lang w:val="sr-Cyrl-CS"/>
        </w:rPr>
      </w:pPr>
      <w:r w:rsidRPr="00E26EFA">
        <w:rPr>
          <w:sz w:val="22"/>
          <w:szCs w:val="22"/>
          <w:lang w:val="sr-Cyrl-CS"/>
        </w:rPr>
        <w:tab/>
      </w:r>
    </w:p>
    <w:p w:rsidR="003E17D4" w:rsidRPr="00E26EFA" w:rsidRDefault="003E17D4" w:rsidP="003E17D4">
      <w:pPr>
        <w:pStyle w:val="FootnoteText"/>
        <w:spacing w:line="240" w:lineRule="auto"/>
        <w:rPr>
          <w:sz w:val="22"/>
          <w:szCs w:val="22"/>
          <w:lang w:val="sr-Cyrl-CS"/>
        </w:rPr>
      </w:pPr>
    </w:p>
    <w:p w:rsidR="003E17D4" w:rsidRPr="00E26EFA" w:rsidRDefault="003E17D4" w:rsidP="003E17D4">
      <w:pPr>
        <w:jc w:val="both"/>
        <w:rPr>
          <w:sz w:val="22"/>
          <w:szCs w:val="22"/>
          <w:lang w:val="sr-Cyrl-CS"/>
        </w:rPr>
      </w:pPr>
      <w:r w:rsidRPr="00E26EFA">
        <w:rPr>
          <w:sz w:val="22"/>
          <w:szCs w:val="22"/>
          <w:lang w:val="sr-Cyrl-CS"/>
        </w:rPr>
        <w:t xml:space="preserve">1. Орган државне управе, односно други овлашћени предлагач прописа </w:t>
      </w:r>
    </w:p>
    <w:p w:rsidR="003E17D4" w:rsidRPr="009A1FC1" w:rsidRDefault="003E17D4" w:rsidP="003E17D4">
      <w:pPr>
        <w:jc w:val="both"/>
        <w:rPr>
          <w:sz w:val="22"/>
          <w:szCs w:val="22"/>
        </w:rPr>
      </w:pPr>
      <w:r w:rsidRPr="00E26EFA">
        <w:rPr>
          <w:sz w:val="22"/>
          <w:szCs w:val="22"/>
          <w:lang w:val="sr-Cyrl-CS"/>
        </w:rPr>
        <w:t>ОВЛАШЋЕНИ ПРЕДЛАГАЧ:</w:t>
      </w:r>
      <w:r w:rsidRPr="00E26EFA">
        <w:rPr>
          <w:sz w:val="22"/>
          <w:szCs w:val="22"/>
        </w:rPr>
        <w:t xml:space="preserve"> </w:t>
      </w:r>
      <w:r w:rsidRPr="00E26EFA">
        <w:rPr>
          <w:sz w:val="22"/>
          <w:szCs w:val="22"/>
          <w:lang w:val="en-US"/>
        </w:rPr>
        <w:t xml:space="preserve">ВЛАДА </w:t>
      </w:r>
    </w:p>
    <w:p w:rsidR="003E17D4" w:rsidRPr="00E26EFA" w:rsidRDefault="003E17D4" w:rsidP="003E17D4">
      <w:pPr>
        <w:jc w:val="both"/>
        <w:rPr>
          <w:sz w:val="22"/>
          <w:szCs w:val="22"/>
        </w:rPr>
      </w:pPr>
      <w:r w:rsidRPr="00E26EFA">
        <w:rPr>
          <w:sz w:val="22"/>
          <w:szCs w:val="22"/>
          <w:lang w:val="en-US"/>
        </w:rPr>
        <w:t>ОБРАЂИВАЧ:  МИНИСТАРСТВО ФИНАНСИЈА</w:t>
      </w:r>
      <w:r w:rsidRPr="00E26EFA">
        <w:rPr>
          <w:sz w:val="22"/>
          <w:szCs w:val="22"/>
        </w:rPr>
        <w:t xml:space="preserve"> </w:t>
      </w:r>
    </w:p>
    <w:p w:rsidR="003E17D4" w:rsidRPr="00E26EFA" w:rsidRDefault="003E17D4" w:rsidP="003E17D4">
      <w:pPr>
        <w:jc w:val="both"/>
        <w:rPr>
          <w:sz w:val="22"/>
          <w:szCs w:val="22"/>
        </w:rPr>
      </w:pPr>
    </w:p>
    <w:p w:rsidR="003E17D4" w:rsidRPr="00E26EFA" w:rsidRDefault="003E17D4" w:rsidP="003E17D4">
      <w:pPr>
        <w:jc w:val="both"/>
        <w:rPr>
          <w:sz w:val="22"/>
          <w:szCs w:val="22"/>
          <w:lang w:val="sr-Cyrl-CS"/>
        </w:rPr>
      </w:pPr>
      <w:r w:rsidRPr="00E26EFA">
        <w:rPr>
          <w:sz w:val="22"/>
          <w:szCs w:val="22"/>
        </w:rPr>
        <w:t xml:space="preserve">2. Назив </w:t>
      </w:r>
      <w:r w:rsidRPr="00E26EFA">
        <w:rPr>
          <w:sz w:val="22"/>
          <w:szCs w:val="22"/>
          <w:lang w:val="sr-Cyrl-CS"/>
        </w:rPr>
        <w:t>прописа</w:t>
      </w:r>
    </w:p>
    <w:p w:rsidR="003E17D4" w:rsidRPr="00E26EFA" w:rsidRDefault="006E5B0E" w:rsidP="003E17D4">
      <w:pPr>
        <w:jc w:val="both"/>
        <w:rPr>
          <w:sz w:val="22"/>
          <w:szCs w:val="22"/>
        </w:rPr>
      </w:pPr>
      <w:r>
        <w:rPr>
          <w:iCs/>
          <w:sz w:val="22"/>
          <w:szCs w:val="22"/>
          <w:lang w:val="ru-RU"/>
        </w:rPr>
        <w:t>ПРЕДЛОГ</w:t>
      </w:r>
      <w:r w:rsidR="003E17D4" w:rsidRPr="00E26EFA">
        <w:rPr>
          <w:iCs/>
          <w:sz w:val="22"/>
          <w:szCs w:val="22"/>
          <w:lang w:val="ru-RU"/>
        </w:rPr>
        <w:t xml:space="preserve"> ЗАКОНА О ИЗМЕН</w:t>
      </w:r>
      <w:r w:rsidR="003E17D4" w:rsidRPr="00E26EFA">
        <w:rPr>
          <w:iCs/>
          <w:sz w:val="22"/>
          <w:szCs w:val="22"/>
        </w:rPr>
        <w:t>АМА И ДОПУНАМА</w:t>
      </w:r>
      <w:r w:rsidR="003E17D4" w:rsidRPr="00E26EFA">
        <w:rPr>
          <w:iCs/>
          <w:sz w:val="22"/>
          <w:szCs w:val="22"/>
          <w:lang w:val="ru-RU"/>
        </w:rPr>
        <w:t xml:space="preserve"> ЗАКОНА</w:t>
      </w:r>
      <w:r w:rsidR="003E17D4" w:rsidRPr="00E26EFA">
        <w:rPr>
          <w:iCs/>
          <w:sz w:val="22"/>
          <w:szCs w:val="22"/>
          <w:lang w:val="sr-Cyrl-CS"/>
        </w:rPr>
        <w:t xml:space="preserve"> О ПОРЕЗ</w:t>
      </w:r>
      <w:r w:rsidR="003E17D4">
        <w:rPr>
          <w:iCs/>
          <w:sz w:val="22"/>
          <w:szCs w:val="22"/>
          <w:lang w:val="sr-Cyrl-CS"/>
        </w:rPr>
        <w:t>ИМА НА УПОТРЕБУ, ДРЖАЊЕ И НОШЕЊЕ ДОБАРА</w:t>
      </w:r>
      <w:r w:rsidR="003E17D4">
        <w:rPr>
          <w:sz w:val="22"/>
          <w:szCs w:val="22"/>
          <w:lang w:val="sr-Latn-CS"/>
        </w:rPr>
        <w:t xml:space="preserve"> </w:t>
      </w:r>
    </w:p>
    <w:p w:rsidR="003E17D4" w:rsidRPr="003E17D4" w:rsidRDefault="003E17D4" w:rsidP="003E17D4">
      <w:pPr>
        <w:pStyle w:val="HTMLPreformatted"/>
        <w:shd w:val="clear" w:color="auto" w:fill="FFFFFF"/>
        <w:jc w:val="both"/>
        <w:rPr>
          <w:rFonts w:ascii="Times New Roman" w:hAnsi="Times New Roman" w:cs="Times New Roman"/>
          <w:color w:val="000000" w:themeColor="text1"/>
          <w:sz w:val="24"/>
          <w:szCs w:val="24"/>
        </w:rPr>
      </w:pPr>
      <w:r w:rsidRPr="003E17D4">
        <w:rPr>
          <w:rFonts w:ascii="Times New Roman" w:hAnsi="Times New Roman" w:cs="Times New Roman"/>
          <w:color w:val="000000" w:themeColor="text1"/>
          <w:sz w:val="24"/>
          <w:szCs w:val="24"/>
        </w:rPr>
        <w:t>DRAFT LAW ON AMENDMENTS</w:t>
      </w:r>
      <w:r w:rsidR="006E5B0E">
        <w:rPr>
          <w:rFonts w:ascii="Times New Roman" w:hAnsi="Times New Roman" w:cs="Times New Roman"/>
          <w:color w:val="000000" w:themeColor="text1"/>
          <w:sz w:val="24"/>
          <w:szCs w:val="24"/>
        </w:rPr>
        <w:t xml:space="preserve"> AND SUPPLEMENTS</w:t>
      </w:r>
      <w:r w:rsidRPr="003E17D4">
        <w:rPr>
          <w:rFonts w:ascii="Times New Roman" w:hAnsi="Times New Roman" w:cs="Times New Roman"/>
          <w:color w:val="000000" w:themeColor="text1"/>
          <w:sz w:val="24"/>
          <w:szCs w:val="24"/>
        </w:rPr>
        <w:t xml:space="preserve"> TO THE LAW ON TAXES </w:t>
      </w:r>
      <w:r w:rsidRPr="003E17D4">
        <w:rPr>
          <w:rFonts w:ascii="Times New Roman" w:hAnsi="Times New Roman" w:cs="Times New Roman"/>
          <w:color w:val="000000" w:themeColor="text1"/>
          <w:sz w:val="24"/>
          <w:szCs w:val="24"/>
          <w:lang w:val="sr-Cyrl-CS"/>
        </w:rPr>
        <w:t>О</w:t>
      </w:r>
      <w:r w:rsidRPr="003E17D4">
        <w:rPr>
          <w:rFonts w:ascii="Times New Roman" w:hAnsi="Times New Roman" w:cs="Times New Roman"/>
          <w:color w:val="000000" w:themeColor="text1"/>
          <w:sz w:val="24"/>
          <w:szCs w:val="24"/>
        </w:rPr>
        <w:t xml:space="preserve">N USE, </w:t>
      </w:r>
      <w:r w:rsidRPr="003E17D4">
        <w:rPr>
          <w:rFonts w:ascii="Times New Roman" w:hAnsi="Times New Roman" w:cs="Times New Roman"/>
          <w:color w:val="000000" w:themeColor="text1"/>
          <w:sz w:val="24"/>
          <w:szCs w:val="24"/>
          <w:lang w:val="sr-Latn-CS"/>
        </w:rPr>
        <w:t>POSSESSION</w:t>
      </w:r>
      <w:r w:rsidRPr="003E17D4">
        <w:rPr>
          <w:rFonts w:ascii="Times New Roman" w:hAnsi="Times New Roman" w:cs="Times New Roman"/>
          <w:color w:val="000000" w:themeColor="text1"/>
          <w:sz w:val="24"/>
          <w:szCs w:val="24"/>
        </w:rPr>
        <w:t xml:space="preserve"> AND CARRYING </w:t>
      </w:r>
      <w:r w:rsidR="00B2627E" w:rsidRPr="00B2627E">
        <w:rPr>
          <w:rFonts w:ascii="Times New Roman" w:hAnsi="Times New Roman" w:cs="Times New Roman"/>
          <w:bCs/>
          <w:sz w:val="24"/>
          <w:szCs w:val="24"/>
        </w:rPr>
        <w:t>OF</w:t>
      </w:r>
      <w:r w:rsidR="00B2627E" w:rsidRPr="003E17D4">
        <w:rPr>
          <w:rFonts w:ascii="Times New Roman" w:hAnsi="Times New Roman" w:cs="Times New Roman"/>
          <w:color w:val="000000" w:themeColor="text1"/>
          <w:sz w:val="24"/>
          <w:szCs w:val="24"/>
        </w:rPr>
        <w:t xml:space="preserve"> </w:t>
      </w:r>
      <w:r w:rsidRPr="003E17D4">
        <w:rPr>
          <w:rFonts w:ascii="Times New Roman" w:hAnsi="Times New Roman" w:cs="Times New Roman"/>
          <w:color w:val="000000" w:themeColor="text1"/>
          <w:sz w:val="24"/>
          <w:szCs w:val="24"/>
        </w:rPr>
        <w:t>GOODS</w:t>
      </w:r>
    </w:p>
    <w:p w:rsidR="00B2627E" w:rsidRDefault="00B2627E" w:rsidP="003E17D4">
      <w:pPr>
        <w:jc w:val="both"/>
        <w:rPr>
          <w:sz w:val="22"/>
          <w:szCs w:val="22"/>
          <w:lang w:val="sr-Cyrl-CS"/>
        </w:rPr>
      </w:pPr>
    </w:p>
    <w:p w:rsidR="003E17D4" w:rsidRPr="00E26EFA" w:rsidRDefault="003E17D4" w:rsidP="003E17D4">
      <w:pPr>
        <w:jc w:val="both"/>
        <w:rPr>
          <w:sz w:val="22"/>
          <w:szCs w:val="22"/>
          <w:lang w:val="sr-Cyrl-CS"/>
        </w:rPr>
      </w:pPr>
      <w:r w:rsidRPr="00E26EFA">
        <w:rPr>
          <w:sz w:val="22"/>
          <w:szCs w:val="22"/>
          <w:lang w:val="sr-Cyrl-CS"/>
        </w:rPr>
        <w:t>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w:t>
      </w:r>
      <w:r>
        <w:rPr>
          <w:sz w:val="22"/>
          <w:szCs w:val="22"/>
          <w:lang w:val="sr-Cyrl-CS"/>
        </w:rPr>
        <w:t>аљем тексту: Прелазни споразум)</w:t>
      </w:r>
    </w:p>
    <w:p w:rsidR="003E17D4" w:rsidRPr="00E26EFA" w:rsidRDefault="003E17D4" w:rsidP="003E17D4">
      <w:pPr>
        <w:jc w:val="both"/>
        <w:rPr>
          <w:sz w:val="22"/>
          <w:szCs w:val="22"/>
          <w:lang w:val="sr-Cyrl-CS"/>
        </w:rPr>
      </w:pPr>
    </w:p>
    <w:p w:rsidR="003E17D4" w:rsidRDefault="003E17D4" w:rsidP="003E17D4">
      <w:pPr>
        <w:jc w:val="both"/>
        <w:rPr>
          <w:sz w:val="22"/>
          <w:szCs w:val="22"/>
          <w:lang w:val="sr-Cyrl-CS"/>
        </w:rPr>
      </w:pPr>
      <w:r w:rsidRPr="00E26EFA">
        <w:rPr>
          <w:sz w:val="22"/>
          <w:szCs w:val="22"/>
          <w:lang w:val="sr-Cyrl-CS"/>
        </w:rPr>
        <w:t xml:space="preserve">а) Одредба Споразума </w:t>
      </w:r>
      <w:r w:rsidRPr="00A1777F">
        <w:rPr>
          <w:sz w:val="22"/>
          <w:szCs w:val="22"/>
          <w:lang w:val="sr-Cyrl-CS"/>
        </w:rPr>
        <w:t>и Прелазног споразума</w:t>
      </w:r>
      <w:r w:rsidRPr="00E26EFA">
        <w:rPr>
          <w:sz w:val="22"/>
          <w:szCs w:val="22"/>
          <w:lang w:val="sr-Cyrl-CS"/>
        </w:rPr>
        <w:t xml:space="preserve"> која се однос</w:t>
      </w:r>
      <w:r>
        <w:rPr>
          <w:sz w:val="22"/>
          <w:szCs w:val="22"/>
          <w:lang w:val="sr-Cyrl-CS"/>
        </w:rPr>
        <w:t xml:space="preserve">е на нормативну саржину прописа </w:t>
      </w:r>
    </w:p>
    <w:p w:rsidR="003E17D4" w:rsidRDefault="003E17D4" w:rsidP="003E17D4">
      <w:pPr>
        <w:jc w:val="both"/>
        <w:rPr>
          <w:color w:val="000000" w:themeColor="text1"/>
          <w:sz w:val="22"/>
          <w:szCs w:val="22"/>
          <w:lang w:val="en-US"/>
        </w:rPr>
      </w:pPr>
      <w:r w:rsidRPr="003E17D4">
        <w:rPr>
          <w:color w:val="000000" w:themeColor="text1"/>
          <w:sz w:val="22"/>
          <w:szCs w:val="22"/>
          <w:lang w:val="sr-Cyrl-CS"/>
        </w:rPr>
        <w:t xml:space="preserve">ЧЛ. 37. И 100. СПОРАЗУМА </w:t>
      </w:r>
    </w:p>
    <w:p w:rsidR="00A1777F" w:rsidRPr="00A1777F" w:rsidRDefault="00A1777F" w:rsidP="003E17D4">
      <w:pPr>
        <w:jc w:val="both"/>
        <w:rPr>
          <w:color w:val="000000" w:themeColor="text1"/>
          <w:sz w:val="22"/>
          <w:szCs w:val="22"/>
          <w:lang w:val="en-US"/>
        </w:rPr>
      </w:pPr>
    </w:p>
    <w:p w:rsidR="003E17D4" w:rsidRPr="001874CC" w:rsidRDefault="003E17D4" w:rsidP="003E17D4">
      <w:pPr>
        <w:jc w:val="both"/>
        <w:rPr>
          <w:b/>
          <w:sz w:val="22"/>
          <w:szCs w:val="22"/>
          <w:lang w:val="sr-Cyrl-CS"/>
        </w:rPr>
      </w:pPr>
      <w:r w:rsidRPr="00E26EFA">
        <w:rPr>
          <w:sz w:val="22"/>
          <w:szCs w:val="22"/>
          <w:lang w:val="sr-Cyrl-CS"/>
        </w:rPr>
        <w:t xml:space="preserve">б) Прелазни рок за усклађивање законодавства према одредбама </w:t>
      </w:r>
      <w:r>
        <w:rPr>
          <w:sz w:val="22"/>
          <w:szCs w:val="22"/>
          <w:lang w:val="sr-Cyrl-CS"/>
        </w:rPr>
        <w:t xml:space="preserve">Споразума и Прелазног споразума </w:t>
      </w:r>
    </w:p>
    <w:p w:rsidR="003E17D4" w:rsidRDefault="003E17D4" w:rsidP="003E17D4">
      <w:pPr>
        <w:jc w:val="both"/>
        <w:rPr>
          <w:sz w:val="22"/>
          <w:szCs w:val="22"/>
          <w:lang w:val="sr-Cyrl-CS"/>
        </w:rPr>
      </w:pPr>
      <w:r>
        <w:rPr>
          <w:sz w:val="22"/>
          <w:szCs w:val="22"/>
          <w:lang w:val="sr-Cyrl-CS"/>
        </w:rPr>
        <w:t>ПРИМЕЊУЈЕ СЕ РОК ИЗ ЧЛАНА 72. СПОРАЗУМА, КАО ОПШТИ РОК ЗА УСКЛАЂИВАЊЕ ПРОПИСА</w:t>
      </w:r>
    </w:p>
    <w:p w:rsidR="003E17D4" w:rsidRPr="00E26EFA" w:rsidRDefault="003E17D4" w:rsidP="003E17D4">
      <w:pPr>
        <w:jc w:val="both"/>
        <w:rPr>
          <w:sz w:val="22"/>
          <w:szCs w:val="22"/>
          <w:lang w:val="sr-Cyrl-CS"/>
        </w:rPr>
      </w:pPr>
    </w:p>
    <w:p w:rsidR="003E17D4" w:rsidRDefault="003E17D4" w:rsidP="003E17D4">
      <w:pPr>
        <w:jc w:val="both"/>
        <w:rPr>
          <w:sz w:val="22"/>
          <w:szCs w:val="22"/>
          <w:lang w:val="sr-Latn-CS"/>
        </w:rPr>
      </w:pPr>
      <w:r w:rsidRPr="00E26EFA">
        <w:rPr>
          <w:sz w:val="22"/>
          <w:szCs w:val="22"/>
          <w:lang w:val="sr-Cyrl-CS"/>
        </w:rPr>
        <w:t xml:space="preserve">в) Оцена испуњености обавезе које произлазе из наведене одредбе </w:t>
      </w:r>
      <w:r>
        <w:rPr>
          <w:sz w:val="22"/>
          <w:szCs w:val="22"/>
          <w:lang w:val="sr-Cyrl-CS"/>
        </w:rPr>
        <w:t xml:space="preserve">Споразума и Прелазног споразума </w:t>
      </w:r>
    </w:p>
    <w:p w:rsidR="003E17D4" w:rsidRDefault="003E17D4" w:rsidP="003E17D4">
      <w:pPr>
        <w:jc w:val="both"/>
        <w:rPr>
          <w:sz w:val="22"/>
          <w:szCs w:val="22"/>
          <w:lang w:val="sr-Cyrl-CS"/>
        </w:rPr>
      </w:pPr>
      <w:r>
        <w:rPr>
          <w:sz w:val="22"/>
          <w:szCs w:val="22"/>
          <w:lang w:val="sr-Cyrl-CS"/>
        </w:rPr>
        <w:t>ПОТПУНО УСКЛАЂЕНО</w:t>
      </w:r>
    </w:p>
    <w:p w:rsidR="003E17D4" w:rsidRPr="00E26EFA" w:rsidRDefault="003E17D4" w:rsidP="003E17D4">
      <w:pPr>
        <w:jc w:val="both"/>
        <w:rPr>
          <w:sz w:val="22"/>
          <w:szCs w:val="22"/>
          <w:lang w:val="sr-Cyrl-CS"/>
        </w:rPr>
      </w:pPr>
      <w:r>
        <w:rPr>
          <w:sz w:val="22"/>
          <w:szCs w:val="22"/>
          <w:lang w:val="sr-Cyrl-CS"/>
        </w:rPr>
        <w:t xml:space="preserve"> </w:t>
      </w:r>
    </w:p>
    <w:p w:rsidR="003E17D4" w:rsidRPr="00E26EFA" w:rsidRDefault="003E17D4" w:rsidP="003E17D4">
      <w:pPr>
        <w:jc w:val="both"/>
        <w:rPr>
          <w:sz w:val="22"/>
          <w:szCs w:val="22"/>
          <w:lang w:val="sr-Cyrl-CS"/>
        </w:rPr>
      </w:pPr>
      <w:r w:rsidRPr="00E26EFA">
        <w:rPr>
          <w:sz w:val="22"/>
          <w:szCs w:val="22"/>
          <w:lang w:val="sr-Cyrl-CS"/>
        </w:rPr>
        <w:t xml:space="preserve">г) Разлози за делимично испуњавање, односно неиспуњавање обавеза које произлазе из наведене одредбе </w:t>
      </w:r>
      <w:r>
        <w:rPr>
          <w:sz w:val="22"/>
          <w:szCs w:val="22"/>
          <w:lang w:val="sr-Cyrl-CS"/>
        </w:rPr>
        <w:t>Споразума и Прелазног споразума</w:t>
      </w:r>
    </w:p>
    <w:p w:rsidR="003E17D4" w:rsidRPr="00E26EFA" w:rsidRDefault="003E17D4" w:rsidP="003E17D4">
      <w:pPr>
        <w:jc w:val="center"/>
        <w:rPr>
          <w:sz w:val="22"/>
          <w:szCs w:val="22"/>
          <w:lang w:val="sr-Cyrl-CS"/>
        </w:rPr>
      </w:pPr>
      <w:r w:rsidRPr="00E26EFA">
        <w:rPr>
          <w:sz w:val="22"/>
          <w:szCs w:val="22"/>
          <w:lang w:val="sr-Cyrl-CS"/>
        </w:rPr>
        <w:t>/</w:t>
      </w:r>
    </w:p>
    <w:p w:rsidR="003E17D4" w:rsidRPr="00E26EFA" w:rsidRDefault="003E17D4" w:rsidP="003E17D4">
      <w:pPr>
        <w:jc w:val="both"/>
        <w:rPr>
          <w:sz w:val="22"/>
          <w:szCs w:val="22"/>
          <w:lang w:val="sr-Cyrl-CS"/>
        </w:rPr>
      </w:pPr>
      <w:r w:rsidRPr="00E26EFA">
        <w:rPr>
          <w:sz w:val="22"/>
          <w:szCs w:val="22"/>
          <w:lang w:val="sr-Cyrl-CS"/>
        </w:rPr>
        <w:t xml:space="preserve">д) Веза са Националним програмом за усвајање </w:t>
      </w:r>
      <w:r>
        <w:rPr>
          <w:sz w:val="22"/>
          <w:szCs w:val="22"/>
          <w:lang w:val="sr-Cyrl-CS"/>
        </w:rPr>
        <w:t>правних тековина Европске уније</w:t>
      </w:r>
    </w:p>
    <w:p w:rsidR="003E17D4" w:rsidRPr="00E26EFA" w:rsidRDefault="003E17D4" w:rsidP="003E17D4">
      <w:pPr>
        <w:jc w:val="both"/>
        <w:rPr>
          <w:sz w:val="22"/>
          <w:szCs w:val="22"/>
          <w:lang w:val="sr-Cyrl-CS"/>
        </w:rPr>
      </w:pPr>
      <w:r w:rsidRPr="00A1777F">
        <w:rPr>
          <w:sz w:val="22"/>
          <w:szCs w:val="22"/>
          <w:lang w:val="sr-Cyrl-CS"/>
        </w:rPr>
        <w:t xml:space="preserve">НАЦИОНАЛНИМ ПРОГРАМОМ ЗА </w:t>
      </w:r>
      <w:r w:rsidR="009F19F5" w:rsidRPr="00A1777F">
        <w:rPr>
          <w:sz w:val="22"/>
          <w:szCs w:val="22"/>
          <w:lang w:val="sr-Cyrl-CS"/>
        </w:rPr>
        <w:t>УСВАЈАЊЕ ПРАВНИХ ТЕКОВИНА ЕВРОПСКЕ УНИЈЕ</w:t>
      </w:r>
      <w:r w:rsidR="009F19F5" w:rsidRPr="00A1777F">
        <w:rPr>
          <w:sz w:val="22"/>
          <w:szCs w:val="22"/>
          <w:lang w:val="en-US"/>
        </w:rPr>
        <w:t xml:space="preserve"> </w:t>
      </w:r>
      <w:r w:rsidRPr="00A1777F">
        <w:rPr>
          <w:sz w:val="22"/>
          <w:szCs w:val="22"/>
          <w:lang w:val="sr-Cyrl-CS"/>
        </w:rPr>
        <w:t>НИЈЕ ПРЕДВИЂЕНО ДОНОШЕЊЕ</w:t>
      </w:r>
      <w:r>
        <w:rPr>
          <w:sz w:val="22"/>
          <w:szCs w:val="22"/>
          <w:lang w:val="sr-Cyrl-CS"/>
        </w:rPr>
        <w:t xml:space="preserve"> ОВОГ ЗАКОНА</w:t>
      </w:r>
    </w:p>
    <w:p w:rsidR="003E17D4" w:rsidRPr="00E26EFA" w:rsidRDefault="003E17D4" w:rsidP="003E17D4">
      <w:pPr>
        <w:jc w:val="both"/>
        <w:rPr>
          <w:sz w:val="22"/>
          <w:szCs w:val="22"/>
          <w:lang w:val="sr-Cyrl-CS"/>
        </w:rPr>
      </w:pPr>
    </w:p>
    <w:p w:rsidR="003E17D4" w:rsidRPr="00E26EFA" w:rsidRDefault="003E17D4" w:rsidP="003E17D4">
      <w:pPr>
        <w:jc w:val="both"/>
        <w:rPr>
          <w:sz w:val="22"/>
          <w:szCs w:val="22"/>
          <w:lang w:val="sr-Cyrl-CS"/>
        </w:rPr>
      </w:pPr>
      <w:r w:rsidRPr="00E26EFA">
        <w:rPr>
          <w:sz w:val="22"/>
          <w:szCs w:val="22"/>
          <w:lang w:val="sr-Cyrl-CS"/>
        </w:rPr>
        <w:t xml:space="preserve">4. </w:t>
      </w:r>
      <w:r w:rsidRPr="00E26EFA">
        <w:rPr>
          <w:sz w:val="22"/>
          <w:szCs w:val="22"/>
        </w:rPr>
        <w:t>Усклађеност</w:t>
      </w:r>
      <w:r w:rsidRPr="00E26EFA">
        <w:rPr>
          <w:sz w:val="22"/>
          <w:szCs w:val="22"/>
          <w:lang w:val="sr-Cyrl-CS"/>
        </w:rPr>
        <w:t xml:space="preserve"> прописа </w:t>
      </w:r>
      <w:r w:rsidRPr="00E26EFA">
        <w:rPr>
          <w:sz w:val="22"/>
          <w:szCs w:val="22"/>
        </w:rPr>
        <w:t>с</w:t>
      </w:r>
      <w:r w:rsidRPr="00E26EFA">
        <w:rPr>
          <w:sz w:val="22"/>
          <w:szCs w:val="22"/>
          <w:lang w:val="sr-Cyrl-CS"/>
        </w:rPr>
        <w:t>а</w:t>
      </w:r>
      <w:r w:rsidRPr="00E26EFA">
        <w:rPr>
          <w:sz w:val="22"/>
          <w:szCs w:val="22"/>
        </w:rPr>
        <w:t xml:space="preserve"> </w:t>
      </w:r>
      <w:r w:rsidRPr="00E26EFA">
        <w:rPr>
          <w:sz w:val="22"/>
          <w:szCs w:val="22"/>
          <w:lang w:val="sr-Cyrl-CS"/>
        </w:rPr>
        <w:t>прописима Европске уније:</w:t>
      </w:r>
    </w:p>
    <w:p w:rsidR="003E17D4" w:rsidRDefault="003E17D4" w:rsidP="003E17D4">
      <w:pPr>
        <w:jc w:val="both"/>
        <w:rPr>
          <w:sz w:val="22"/>
          <w:szCs w:val="22"/>
          <w:lang w:val="sr-Cyrl-CS"/>
        </w:rPr>
      </w:pPr>
      <w:r>
        <w:rPr>
          <w:sz w:val="22"/>
          <w:szCs w:val="22"/>
          <w:lang w:val="sr-Cyrl-CS"/>
        </w:rPr>
        <w:t xml:space="preserve">НЕ ПОСТОЈЕ ОДГОВАРАЈУЋИ ПРОПИСИ ЕВРОПСКЕ УНИЈЕ СА КОЈИМА ЈЕ ПОТРЕБНО ОБЕЗБЕДИТИ УСКЛАЂЕНОСТ </w:t>
      </w:r>
      <w:r w:rsidR="006E5B0E">
        <w:rPr>
          <w:sz w:val="22"/>
          <w:szCs w:val="22"/>
          <w:lang w:val="sr-Cyrl-CS"/>
        </w:rPr>
        <w:t>ПРЕДЛОГА</w:t>
      </w:r>
      <w:r>
        <w:rPr>
          <w:sz w:val="22"/>
          <w:szCs w:val="22"/>
          <w:lang w:val="sr-Cyrl-CS"/>
        </w:rPr>
        <w:t xml:space="preserve"> ЗАКОНА О ИЗМЕНАМА И ДОПУНАМА ЗАКОНА О ПОРЕЗИМА НА УПОТРЕБУ, ДРЖАЊЕ И НОШЕЊЕ ДОБАРА</w:t>
      </w:r>
    </w:p>
    <w:p w:rsidR="003E17D4" w:rsidRPr="001874CC" w:rsidRDefault="003E17D4" w:rsidP="003E17D4">
      <w:pPr>
        <w:jc w:val="both"/>
        <w:rPr>
          <w:sz w:val="22"/>
          <w:szCs w:val="22"/>
          <w:lang w:val="sr-Cyrl-CS"/>
        </w:rPr>
      </w:pPr>
    </w:p>
    <w:p w:rsidR="003E17D4" w:rsidRDefault="003E17D4" w:rsidP="003E17D4">
      <w:pPr>
        <w:jc w:val="both"/>
        <w:rPr>
          <w:sz w:val="22"/>
          <w:szCs w:val="22"/>
          <w:lang w:val="sr-Cyrl-CS"/>
        </w:rPr>
      </w:pPr>
      <w:r w:rsidRPr="00E26EFA">
        <w:rPr>
          <w:sz w:val="22"/>
          <w:szCs w:val="22"/>
        </w:rPr>
        <w:t xml:space="preserve">а) </w:t>
      </w:r>
      <w:r w:rsidRPr="00E26EFA">
        <w:rPr>
          <w:sz w:val="22"/>
          <w:szCs w:val="22"/>
          <w:lang w:val="sr-Cyrl-CS"/>
        </w:rPr>
        <w:t>Навођење</w:t>
      </w:r>
      <w:r w:rsidRPr="00E26EFA">
        <w:rPr>
          <w:sz w:val="22"/>
          <w:szCs w:val="22"/>
          <w:lang w:val="sr-Latn-CS"/>
        </w:rPr>
        <w:t xml:space="preserve"> </w:t>
      </w:r>
      <w:r w:rsidRPr="00E26EFA">
        <w:rPr>
          <w:sz w:val="22"/>
          <w:szCs w:val="22"/>
          <w:lang w:val="sr-Cyrl-CS"/>
        </w:rPr>
        <w:t>одредби</w:t>
      </w:r>
      <w:r w:rsidRPr="00E26EFA">
        <w:rPr>
          <w:sz w:val="22"/>
          <w:szCs w:val="22"/>
        </w:rPr>
        <w:t xml:space="preserve"> примарних извора права Европске уније</w:t>
      </w:r>
      <w:r w:rsidRPr="00E26EFA">
        <w:rPr>
          <w:sz w:val="22"/>
          <w:szCs w:val="22"/>
          <w:lang w:val="sr-Cyrl-CS"/>
        </w:rPr>
        <w:t xml:space="preserve"> и оцене усклађености са њима</w:t>
      </w:r>
    </w:p>
    <w:p w:rsidR="003E17D4" w:rsidRPr="00E26EFA" w:rsidRDefault="003E17D4" w:rsidP="003E17D4">
      <w:pPr>
        <w:jc w:val="center"/>
        <w:rPr>
          <w:sz w:val="22"/>
          <w:szCs w:val="22"/>
          <w:lang w:val="sr-Cyrl-CS"/>
        </w:rPr>
      </w:pPr>
      <w:r w:rsidRPr="00E26EFA">
        <w:rPr>
          <w:sz w:val="22"/>
          <w:szCs w:val="22"/>
          <w:lang w:val="sr-Cyrl-CS"/>
        </w:rPr>
        <w:t>/</w:t>
      </w:r>
    </w:p>
    <w:p w:rsidR="003E17D4" w:rsidRDefault="003E17D4" w:rsidP="003E17D4">
      <w:pPr>
        <w:jc w:val="both"/>
        <w:rPr>
          <w:sz w:val="22"/>
          <w:szCs w:val="22"/>
          <w:lang w:val="sr-Cyrl-CS"/>
        </w:rPr>
      </w:pPr>
      <w:r w:rsidRPr="00E26EFA">
        <w:rPr>
          <w:sz w:val="22"/>
          <w:szCs w:val="22"/>
        </w:rPr>
        <w:t xml:space="preserve">б) </w:t>
      </w:r>
      <w:r w:rsidRPr="00E26EFA">
        <w:rPr>
          <w:sz w:val="22"/>
          <w:szCs w:val="22"/>
          <w:lang w:val="sr-Cyrl-CS"/>
        </w:rPr>
        <w:t>Навођење</w:t>
      </w:r>
      <w:r w:rsidRPr="00E26EFA">
        <w:rPr>
          <w:sz w:val="22"/>
          <w:szCs w:val="22"/>
        </w:rPr>
        <w:t xml:space="preserve"> секундарних извора права Европске уније </w:t>
      </w:r>
      <w:r>
        <w:rPr>
          <w:sz w:val="22"/>
          <w:szCs w:val="22"/>
          <w:lang w:val="sr-Cyrl-CS"/>
        </w:rPr>
        <w:t>и оцене усклађености са њима</w:t>
      </w:r>
    </w:p>
    <w:p w:rsidR="003E17D4" w:rsidRPr="00E26EFA" w:rsidRDefault="003E17D4" w:rsidP="003E17D4">
      <w:pPr>
        <w:jc w:val="center"/>
        <w:rPr>
          <w:sz w:val="22"/>
          <w:szCs w:val="22"/>
          <w:lang w:val="sr-Cyrl-CS"/>
        </w:rPr>
      </w:pPr>
      <w:r w:rsidRPr="00E26EFA">
        <w:rPr>
          <w:sz w:val="22"/>
          <w:szCs w:val="22"/>
          <w:lang w:val="sr-Cyrl-CS"/>
        </w:rPr>
        <w:t>/</w:t>
      </w:r>
    </w:p>
    <w:p w:rsidR="003E17D4" w:rsidRPr="00E26EFA" w:rsidRDefault="003E17D4" w:rsidP="003E17D4">
      <w:pPr>
        <w:jc w:val="both"/>
        <w:rPr>
          <w:sz w:val="22"/>
          <w:szCs w:val="22"/>
          <w:lang w:val="sr-Cyrl-CS"/>
        </w:rPr>
      </w:pPr>
      <w:r w:rsidRPr="00E26EFA">
        <w:rPr>
          <w:sz w:val="22"/>
          <w:szCs w:val="22"/>
          <w:lang w:val="sr-Cyrl-CS"/>
        </w:rPr>
        <w:t>в</w:t>
      </w:r>
      <w:r w:rsidRPr="00E26EFA">
        <w:rPr>
          <w:sz w:val="22"/>
          <w:szCs w:val="22"/>
        </w:rPr>
        <w:t xml:space="preserve">) </w:t>
      </w:r>
      <w:r w:rsidRPr="00E26EFA">
        <w:rPr>
          <w:sz w:val="22"/>
          <w:szCs w:val="22"/>
          <w:lang w:val="sr-Cyrl-CS"/>
        </w:rPr>
        <w:t>Навођење осталих извора права Европске уније и усклађеност са њима</w:t>
      </w:r>
    </w:p>
    <w:p w:rsidR="003E17D4" w:rsidRPr="00E26EFA" w:rsidRDefault="003E17D4" w:rsidP="003E17D4">
      <w:pPr>
        <w:jc w:val="center"/>
        <w:rPr>
          <w:sz w:val="22"/>
          <w:szCs w:val="22"/>
          <w:lang w:val="sr-Cyrl-CS"/>
        </w:rPr>
      </w:pPr>
      <w:r w:rsidRPr="00E26EFA">
        <w:rPr>
          <w:sz w:val="22"/>
          <w:szCs w:val="22"/>
          <w:lang w:val="sr-Cyrl-CS"/>
        </w:rPr>
        <w:t>/</w:t>
      </w:r>
    </w:p>
    <w:p w:rsidR="003E17D4" w:rsidRPr="00E26EFA" w:rsidRDefault="003E17D4" w:rsidP="003E17D4">
      <w:pPr>
        <w:jc w:val="both"/>
        <w:rPr>
          <w:sz w:val="22"/>
          <w:szCs w:val="22"/>
        </w:rPr>
      </w:pPr>
      <w:r w:rsidRPr="00E26EFA">
        <w:rPr>
          <w:sz w:val="22"/>
          <w:szCs w:val="22"/>
          <w:lang w:val="sr-Cyrl-CS"/>
        </w:rPr>
        <w:t>г</w:t>
      </w:r>
      <w:r w:rsidRPr="00E26EFA">
        <w:rPr>
          <w:sz w:val="22"/>
          <w:szCs w:val="22"/>
        </w:rPr>
        <w:t xml:space="preserve">) </w:t>
      </w:r>
      <w:r w:rsidRPr="00E26EFA">
        <w:rPr>
          <w:sz w:val="22"/>
          <w:szCs w:val="22"/>
          <w:lang w:val="sr-Cyrl-CS"/>
        </w:rPr>
        <w:t>Р</w:t>
      </w:r>
      <w:r w:rsidRPr="00E26EFA">
        <w:rPr>
          <w:sz w:val="22"/>
          <w:szCs w:val="22"/>
        </w:rPr>
        <w:t>азлози за дел</w:t>
      </w:r>
      <w:r w:rsidRPr="00E26EFA">
        <w:rPr>
          <w:sz w:val="22"/>
          <w:szCs w:val="22"/>
          <w:lang w:val="sr-Cyrl-CS"/>
        </w:rPr>
        <w:t>и</w:t>
      </w:r>
      <w:r w:rsidRPr="00E26EFA">
        <w:rPr>
          <w:sz w:val="22"/>
          <w:szCs w:val="22"/>
        </w:rPr>
        <w:t>мичну усклађеност</w:t>
      </w:r>
      <w:r w:rsidRPr="00E26EFA">
        <w:rPr>
          <w:sz w:val="22"/>
          <w:szCs w:val="22"/>
          <w:lang w:val="sr-Cyrl-CS"/>
        </w:rPr>
        <w:t>,</w:t>
      </w:r>
      <w:r w:rsidRPr="00E26EFA">
        <w:rPr>
          <w:sz w:val="22"/>
          <w:szCs w:val="22"/>
        </w:rPr>
        <w:t xml:space="preserve"> односно неусклађеност</w:t>
      </w:r>
    </w:p>
    <w:p w:rsidR="003E17D4" w:rsidRPr="00E26EFA" w:rsidRDefault="003E17D4" w:rsidP="003E17D4">
      <w:pPr>
        <w:jc w:val="center"/>
        <w:rPr>
          <w:sz w:val="22"/>
          <w:szCs w:val="22"/>
          <w:lang w:val="sr-Cyrl-CS"/>
        </w:rPr>
      </w:pPr>
      <w:r w:rsidRPr="00E26EFA">
        <w:rPr>
          <w:sz w:val="22"/>
          <w:szCs w:val="22"/>
          <w:lang w:val="sr-Cyrl-CS"/>
        </w:rPr>
        <w:t>/</w:t>
      </w:r>
    </w:p>
    <w:p w:rsidR="003E17D4" w:rsidRPr="00E26EFA" w:rsidRDefault="003E17D4" w:rsidP="003E17D4">
      <w:pPr>
        <w:jc w:val="both"/>
        <w:rPr>
          <w:sz w:val="22"/>
          <w:szCs w:val="22"/>
          <w:lang w:val="sr-Cyrl-CS"/>
        </w:rPr>
      </w:pPr>
      <w:r w:rsidRPr="00E26EFA">
        <w:rPr>
          <w:sz w:val="22"/>
          <w:szCs w:val="22"/>
          <w:lang w:val="sr-Cyrl-CS"/>
        </w:rPr>
        <w:lastRenderedPageBreak/>
        <w:t>д</w:t>
      </w:r>
      <w:r w:rsidRPr="00E26EFA">
        <w:rPr>
          <w:sz w:val="22"/>
          <w:szCs w:val="22"/>
        </w:rPr>
        <w:t>)</w:t>
      </w:r>
      <w:r w:rsidRPr="00E26EFA">
        <w:rPr>
          <w:sz w:val="22"/>
          <w:szCs w:val="22"/>
          <w:lang w:val="sr-Cyrl-CS"/>
        </w:rPr>
        <w:t xml:space="preserve"> Р</w:t>
      </w:r>
      <w:r w:rsidRPr="00E26EFA">
        <w:rPr>
          <w:sz w:val="22"/>
          <w:szCs w:val="22"/>
        </w:rPr>
        <w:t xml:space="preserve">ок у којем је предвиђено постизање потпуне усклађености </w:t>
      </w:r>
      <w:r w:rsidRPr="00E26EFA">
        <w:rPr>
          <w:sz w:val="22"/>
          <w:szCs w:val="22"/>
          <w:lang w:val="sr-Cyrl-CS"/>
        </w:rPr>
        <w:t>прописа</w:t>
      </w:r>
      <w:r w:rsidRPr="00E26EFA">
        <w:rPr>
          <w:sz w:val="22"/>
          <w:szCs w:val="22"/>
        </w:rPr>
        <w:t xml:space="preserve"> с</w:t>
      </w:r>
      <w:r>
        <w:rPr>
          <w:sz w:val="22"/>
          <w:szCs w:val="22"/>
          <w:lang w:val="sr-Cyrl-CS"/>
        </w:rPr>
        <w:t>а прописима Европске уније</w:t>
      </w:r>
    </w:p>
    <w:p w:rsidR="003E17D4" w:rsidRPr="00E26EFA" w:rsidRDefault="003E17D4" w:rsidP="003E17D4">
      <w:pPr>
        <w:jc w:val="center"/>
        <w:rPr>
          <w:sz w:val="22"/>
          <w:szCs w:val="22"/>
          <w:lang w:val="sr-Cyrl-CS"/>
        </w:rPr>
      </w:pPr>
      <w:r w:rsidRPr="00E26EFA">
        <w:rPr>
          <w:sz w:val="22"/>
          <w:szCs w:val="22"/>
          <w:lang w:val="sr-Cyrl-CS"/>
        </w:rPr>
        <w:t>/</w:t>
      </w:r>
    </w:p>
    <w:p w:rsidR="003E17D4" w:rsidRPr="00E26EFA" w:rsidRDefault="003E17D4" w:rsidP="003E17D4">
      <w:pPr>
        <w:jc w:val="both"/>
        <w:rPr>
          <w:i/>
          <w:sz w:val="22"/>
          <w:szCs w:val="22"/>
          <w:lang w:val="sr-Cyrl-CS"/>
        </w:rPr>
      </w:pPr>
    </w:p>
    <w:p w:rsidR="003E17D4" w:rsidRPr="00E26EFA" w:rsidRDefault="003E17D4" w:rsidP="003E17D4">
      <w:pPr>
        <w:jc w:val="both"/>
        <w:rPr>
          <w:color w:val="000000"/>
          <w:sz w:val="22"/>
          <w:szCs w:val="22"/>
          <w:lang w:val="ru-RU"/>
        </w:rPr>
      </w:pPr>
      <w:r w:rsidRPr="00E26EFA">
        <w:rPr>
          <w:sz w:val="22"/>
          <w:szCs w:val="22"/>
          <w:lang w:val="sr-Cyrl-CS"/>
        </w:rPr>
        <w:t>5</w:t>
      </w:r>
      <w:r w:rsidRPr="00E26EFA">
        <w:rPr>
          <w:sz w:val="22"/>
          <w:szCs w:val="22"/>
          <w:lang w:val="ru-RU"/>
        </w:rPr>
        <w:t>.  Уколико не постоје одговарајуће надлежности Европске уније у материји коју регулише пропис, и/или не постоје одговарајући секундарни извори права</w:t>
      </w:r>
      <w:r w:rsidRPr="00E26EFA">
        <w:rPr>
          <w:color w:val="000000"/>
          <w:sz w:val="22"/>
          <w:szCs w:val="22"/>
          <w:lang w:val="ru-RU"/>
        </w:rPr>
        <w:t xml:space="preserve">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  </w:t>
      </w:r>
    </w:p>
    <w:p w:rsidR="003E17D4" w:rsidRDefault="003E17D4" w:rsidP="003E17D4">
      <w:pPr>
        <w:jc w:val="both"/>
        <w:rPr>
          <w:sz w:val="22"/>
          <w:szCs w:val="22"/>
          <w:lang w:val="sr-Cyrl-CS"/>
        </w:rPr>
      </w:pPr>
      <w:r>
        <w:rPr>
          <w:sz w:val="22"/>
          <w:szCs w:val="22"/>
          <w:lang w:val="sr-Cyrl-CS"/>
        </w:rPr>
        <w:t xml:space="preserve"> НЕ ПОСТОЈЕ ОДГОВАРАЈУЋИ ПРОПИСИ ЕВРОПСКЕ УНИЈЕ СА КОЈИМА ЈЕ ПОТРЕБНО ОБЕЗБЕДИТИ УСКЛАЂЕНОСТ.</w:t>
      </w:r>
    </w:p>
    <w:p w:rsidR="003E17D4" w:rsidRPr="00E26EFA" w:rsidRDefault="003E17D4" w:rsidP="003E17D4">
      <w:pPr>
        <w:jc w:val="both"/>
        <w:rPr>
          <w:sz w:val="22"/>
          <w:szCs w:val="22"/>
          <w:lang w:val="sr-Cyrl-CS"/>
        </w:rPr>
      </w:pPr>
    </w:p>
    <w:p w:rsidR="003E17D4" w:rsidRPr="00E26EFA" w:rsidRDefault="003E17D4" w:rsidP="003E17D4">
      <w:pPr>
        <w:jc w:val="both"/>
        <w:rPr>
          <w:sz w:val="22"/>
          <w:szCs w:val="22"/>
        </w:rPr>
      </w:pPr>
      <w:r w:rsidRPr="00E26EFA">
        <w:rPr>
          <w:sz w:val="22"/>
          <w:szCs w:val="22"/>
          <w:lang w:val="sr-Cyrl-CS"/>
        </w:rPr>
        <w:t>6</w:t>
      </w:r>
      <w:r w:rsidRPr="00E26EFA">
        <w:rPr>
          <w:sz w:val="22"/>
          <w:szCs w:val="22"/>
        </w:rPr>
        <w:t xml:space="preserve">. </w:t>
      </w:r>
      <w:r w:rsidRPr="00E26EFA">
        <w:rPr>
          <w:sz w:val="22"/>
          <w:szCs w:val="22"/>
          <w:lang w:val="sr-Cyrl-CS"/>
        </w:rPr>
        <w:t xml:space="preserve">Да </w:t>
      </w:r>
      <w:r w:rsidRPr="00E26EFA">
        <w:rPr>
          <w:sz w:val="22"/>
          <w:szCs w:val="22"/>
        </w:rPr>
        <w:t>ли</w:t>
      </w:r>
      <w:r w:rsidRPr="00E26EFA">
        <w:rPr>
          <w:sz w:val="22"/>
          <w:szCs w:val="22"/>
          <w:lang w:val="sr-Cyrl-CS"/>
        </w:rPr>
        <w:t xml:space="preserve"> су</w:t>
      </w:r>
      <w:r w:rsidRPr="00E26EFA">
        <w:rPr>
          <w:sz w:val="22"/>
          <w:szCs w:val="22"/>
        </w:rPr>
        <w:t xml:space="preserve"> </w:t>
      </w:r>
      <w:r w:rsidRPr="00E26EFA">
        <w:rPr>
          <w:sz w:val="22"/>
          <w:szCs w:val="22"/>
          <w:lang w:val="sr-Cyrl-CS"/>
        </w:rPr>
        <w:t>претходно</w:t>
      </w:r>
      <w:r w:rsidRPr="00E26EFA">
        <w:rPr>
          <w:sz w:val="22"/>
          <w:szCs w:val="22"/>
        </w:rPr>
        <w:t xml:space="preserve"> наведени извори права Европске уније преведени на </w:t>
      </w:r>
      <w:r w:rsidRPr="00E26EFA">
        <w:rPr>
          <w:sz w:val="22"/>
          <w:szCs w:val="22"/>
          <w:lang w:val="sr-Cyrl-CS"/>
        </w:rPr>
        <w:t>срп</w:t>
      </w:r>
      <w:r w:rsidRPr="00E26EFA">
        <w:rPr>
          <w:sz w:val="22"/>
          <w:szCs w:val="22"/>
        </w:rPr>
        <w:t>ски језик?</w:t>
      </w:r>
    </w:p>
    <w:p w:rsidR="003E17D4" w:rsidRPr="00E26EFA" w:rsidRDefault="003E17D4" w:rsidP="003E17D4">
      <w:pPr>
        <w:jc w:val="both"/>
        <w:rPr>
          <w:sz w:val="22"/>
          <w:szCs w:val="22"/>
        </w:rPr>
      </w:pPr>
    </w:p>
    <w:p w:rsidR="003E17D4" w:rsidRPr="00E26EFA" w:rsidRDefault="003E17D4" w:rsidP="003E17D4">
      <w:pPr>
        <w:jc w:val="center"/>
        <w:rPr>
          <w:sz w:val="22"/>
          <w:szCs w:val="22"/>
          <w:lang w:val="sr-Cyrl-CS"/>
        </w:rPr>
      </w:pPr>
      <w:r w:rsidRPr="00E26EFA">
        <w:rPr>
          <w:sz w:val="22"/>
          <w:szCs w:val="22"/>
          <w:lang w:val="sr-Cyrl-CS"/>
        </w:rPr>
        <w:t>/</w:t>
      </w:r>
    </w:p>
    <w:p w:rsidR="003E17D4" w:rsidRDefault="003E17D4" w:rsidP="003E17D4">
      <w:pPr>
        <w:jc w:val="both"/>
        <w:rPr>
          <w:sz w:val="22"/>
          <w:szCs w:val="22"/>
        </w:rPr>
      </w:pPr>
      <w:r w:rsidRPr="00E26EFA">
        <w:rPr>
          <w:sz w:val="22"/>
          <w:szCs w:val="22"/>
          <w:lang w:val="sr-Cyrl-CS"/>
        </w:rPr>
        <w:t>7</w:t>
      </w:r>
      <w:r w:rsidRPr="00E26EFA">
        <w:rPr>
          <w:sz w:val="22"/>
          <w:szCs w:val="22"/>
        </w:rPr>
        <w:t xml:space="preserve">. </w:t>
      </w:r>
      <w:r w:rsidRPr="00E26EFA">
        <w:rPr>
          <w:sz w:val="22"/>
          <w:szCs w:val="22"/>
          <w:lang w:val="sr-Cyrl-CS"/>
        </w:rPr>
        <w:t>Да ли је</w:t>
      </w:r>
      <w:r w:rsidRPr="00E26EFA">
        <w:rPr>
          <w:sz w:val="22"/>
          <w:szCs w:val="22"/>
        </w:rPr>
        <w:t xml:space="preserve"> пропис преведен на неки службени језик Европске уније?</w:t>
      </w:r>
    </w:p>
    <w:p w:rsidR="003E17D4" w:rsidRPr="003E17D4" w:rsidRDefault="003E17D4" w:rsidP="003E17D4">
      <w:pPr>
        <w:jc w:val="both"/>
        <w:rPr>
          <w:sz w:val="22"/>
          <w:szCs w:val="22"/>
          <w:lang w:val="sr-Cyrl-CS"/>
        </w:rPr>
      </w:pPr>
      <w:r>
        <w:rPr>
          <w:sz w:val="22"/>
          <w:szCs w:val="22"/>
        </w:rPr>
        <w:t>TEK</w:t>
      </w:r>
      <w:r>
        <w:rPr>
          <w:sz w:val="22"/>
          <w:szCs w:val="22"/>
          <w:lang w:val="sr-Cyrl-CS"/>
        </w:rPr>
        <w:t>СТ ЗАКОНА ЧИЈЕ СЕ ИЗМЕНЕ И ДОПУНЕ ВРШЕ НИЈЕ ПРЕВЕДЕН НА ЕНГЛЕСКИ ЈЕЗИК</w:t>
      </w:r>
    </w:p>
    <w:p w:rsidR="003E17D4" w:rsidRPr="00E26EFA" w:rsidRDefault="003E17D4" w:rsidP="003E17D4">
      <w:pPr>
        <w:jc w:val="both"/>
        <w:rPr>
          <w:sz w:val="22"/>
          <w:szCs w:val="22"/>
        </w:rPr>
      </w:pPr>
    </w:p>
    <w:p w:rsidR="003E17D4" w:rsidRPr="00E26EFA" w:rsidRDefault="003E17D4" w:rsidP="003E17D4">
      <w:pPr>
        <w:jc w:val="both"/>
        <w:rPr>
          <w:sz w:val="22"/>
          <w:szCs w:val="22"/>
        </w:rPr>
      </w:pPr>
      <w:r w:rsidRPr="00E26EFA">
        <w:rPr>
          <w:sz w:val="22"/>
          <w:szCs w:val="22"/>
          <w:lang w:val="sr-Cyrl-CS"/>
        </w:rPr>
        <w:t>8</w:t>
      </w:r>
      <w:r w:rsidRPr="00E26EFA">
        <w:rPr>
          <w:sz w:val="22"/>
          <w:szCs w:val="22"/>
        </w:rPr>
        <w:t xml:space="preserve">. </w:t>
      </w:r>
      <w:r w:rsidRPr="00E26EFA">
        <w:rPr>
          <w:sz w:val="22"/>
          <w:szCs w:val="22"/>
          <w:lang w:val="sr-Cyrl-CS"/>
        </w:rPr>
        <w:t>Учешће</w:t>
      </w:r>
      <w:r w:rsidRPr="00E26EFA">
        <w:rPr>
          <w:sz w:val="22"/>
          <w:szCs w:val="22"/>
        </w:rPr>
        <w:t xml:space="preserve"> кон</w:t>
      </w:r>
      <w:r w:rsidRPr="00E26EFA">
        <w:rPr>
          <w:sz w:val="22"/>
          <w:szCs w:val="22"/>
          <w:lang w:val="sr-Cyrl-CS"/>
        </w:rPr>
        <w:t>с</w:t>
      </w:r>
      <w:r w:rsidRPr="00E26EFA">
        <w:rPr>
          <w:sz w:val="22"/>
          <w:szCs w:val="22"/>
        </w:rPr>
        <w:t>ултаната у изради прописа</w:t>
      </w:r>
      <w:r w:rsidRPr="00E26EFA">
        <w:rPr>
          <w:sz w:val="22"/>
          <w:szCs w:val="22"/>
          <w:lang w:val="sr-Cyrl-CS"/>
        </w:rPr>
        <w:t xml:space="preserve"> </w:t>
      </w:r>
      <w:r w:rsidRPr="00E26EFA">
        <w:rPr>
          <w:sz w:val="22"/>
          <w:szCs w:val="22"/>
        </w:rPr>
        <w:t>и њихово мишљење о усклађености</w:t>
      </w:r>
    </w:p>
    <w:p w:rsidR="003E17D4" w:rsidRPr="00E26EFA" w:rsidRDefault="003E17D4" w:rsidP="003E17D4">
      <w:pPr>
        <w:jc w:val="both"/>
        <w:rPr>
          <w:sz w:val="22"/>
          <w:szCs w:val="22"/>
          <w:lang w:val="sr-Cyrl-CS"/>
        </w:rPr>
      </w:pPr>
      <w:r w:rsidRPr="00E26EFA">
        <w:rPr>
          <w:sz w:val="22"/>
          <w:szCs w:val="22"/>
          <w:lang w:val="sr-Cyrl-CS"/>
        </w:rPr>
        <w:t xml:space="preserve">У ИЗРАДИ </w:t>
      </w:r>
      <w:r w:rsidR="006E5B0E">
        <w:rPr>
          <w:sz w:val="22"/>
          <w:szCs w:val="22"/>
          <w:lang w:val="sr-Cyrl-CS"/>
        </w:rPr>
        <w:t>ПРЕДЛОГА</w:t>
      </w:r>
      <w:r w:rsidRPr="00E26EFA">
        <w:rPr>
          <w:sz w:val="22"/>
          <w:szCs w:val="22"/>
          <w:lang w:val="sr-Cyrl-CS"/>
        </w:rPr>
        <w:t xml:space="preserve"> ЗАКОНА О ИЗМЕН</w:t>
      </w:r>
      <w:r w:rsidRPr="00E26EFA">
        <w:rPr>
          <w:sz w:val="22"/>
          <w:szCs w:val="22"/>
        </w:rPr>
        <w:t xml:space="preserve">AМА И ДОПУНАМА </w:t>
      </w:r>
      <w:r w:rsidRPr="00E26EFA">
        <w:rPr>
          <w:sz w:val="22"/>
          <w:szCs w:val="22"/>
          <w:lang w:val="sr-Cyrl-CS"/>
        </w:rPr>
        <w:t>ЗАКОНА О ПОРЕЗ</w:t>
      </w:r>
      <w:r>
        <w:rPr>
          <w:sz w:val="22"/>
          <w:szCs w:val="22"/>
          <w:lang w:val="sr-Cyrl-CS"/>
        </w:rPr>
        <w:t>ИМА НА УПОТРЕБУ, ДРЖАЊЕ И НОШЕЊЕ ДОБАРА</w:t>
      </w:r>
      <w:r w:rsidRPr="00E26EFA">
        <w:rPr>
          <w:sz w:val="22"/>
          <w:szCs w:val="22"/>
          <w:lang w:val="sr-Cyrl-CS"/>
        </w:rPr>
        <w:t xml:space="preserve"> НИСУ УЧЕСТВОВАЛИ КОНСУЛТАНТИ.</w:t>
      </w:r>
    </w:p>
    <w:p w:rsidR="003E17D4" w:rsidRPr="00E26EFA" w:rsidRDefault="003E17D4" w:rsidP="003E17D4">
      <w:pPr>
        <w:jc w:val="both"/>
        <w:rPr>
          <w:sz w:val="22"/>
          <w:szCs w:val="22"/>
          <w:lang w:val="sr-Cyrl-CS"/>
        </w:rPr>
      </w:pPr>
    </w:p>
    <w:p w:rsidR="00615F5A" w:rsidRDefault="00615F5A"/>
    <w:sectPr w:rsidR="00615F5A" w:rsidSect="00EA3E81">
      <w:footerReference w:type="default" r:id="rId7"/>
      <w:pgSz w:w="12240" w:h="15840"/>
      <w:pgMar w:top="108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AA" w:rsidRDefault="000514AA" w:rsidP="00545B8E">
      <w:r>
        <w:separator/>
      </w:r>
    </w:p>
  </w:endnote>
  <w:endnote w:type="continuationSeparator" w:id="0">
    <w:p w:rsidR="000514AA" w:rsidRDefault="000514AA" w:rsidP="0054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93927"/>
      <w:docPartObj>
        <w:docPartGallery w:val="Page Numbers (Bottom of Page)"/>
        <w:docPartUnique/>
      </w:docPartObj>
    </w:sdtPr>
    <w:sdtEndPr>
      <w:rPr>
        <w:noProof/>
      </w:rPr>
    </w:sdtEndPr>
    <w:sdtContent>
      <w:p w:rsidR="00EA3E81" w:rsidRDefault="00EA3E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3FC4" w:rsidRDefault="00051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AA" w:rsidRDefault="000514AA" w:rsidP="00545B8E">
      <w:r>
        <w:separator/>
      </w:r>
    </w:p>
  </w:footnote>
  <w:footnote w:type="continuationSeparator" w:id="0">
    <w:p w:rsidR="000514AA" w:rsidRDefault="000514AA" w:rsidP="0054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17D4"/>
    <w:rsid w:val="000514AA"/>
    <w:rsid w:val="002142F4"/>
    <w:rsid w:val="002459D1"/>
    <w:rsid w:val="003E17D4"/>
    <w:rsid w:val="003E353F"/>
    <w:rsid w:val="004B2CCB"/>
    <w:rsid w:val="004F16A7"/>
    <w:rsid w:val="00526ACC"/>
    <w:rsid w:val="00545B8E"/>
    <w:rsid w:val="00615F5A"/>
    <w:rsid w:val="006E5B0E"/>
    <w:rsid w:val="00743ABA"/>
    <w:rsid w:val="00762451"/>
    <w:rsid w:val="00797FBD"/>
    <w:rsid w:val="00802A72"/>
    <w:rsid w:val="009B20B2"/>
    <w:rsid w:val="009F19F5"/>
    <w:rsid w:val="00A1777F"/>
    <w:rsid w:val="00A30E3E"/>
    <w:rsid w:val="00A45F21"/>
    <w:rsid w:val="00B2627E"/>
    <w:rsid w:val="00E17861"/>
    <w:rsid w:val="00EA3E81"/>
    <w:rsid w:val="00FA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D4"/>
    <w:pPr>
      <w:jc w:val="left"/>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E17D4"/>
    <w:pPr>
      <w:spacing w:line="240" w:lineRule="atLeast"/>
      <w:jc w:val="both"/>
    </w:pPr>
    <w:rPr>
      <w:szCs w:val="20"/>
      <w:lang w:val="hu-HU"/>
    </w:rPr>
  </w:style>
  <w:style w:type="character" w:customStyle="1" w:styleId="FootnoteTextChar">
    <w:name w:val="Footnote Text Char"/>
    <w:basedOn w:val="DefaultParagraphFont"/>
    <w:link w:val="FootnoteText"/>
    <w:semiHidden/>
    <w:rsid w:val="003E17D4"/>
    <w:rPr>
      <w:rFonts w:ascii="Times New Roman" w:eastAsia="Times New Roman" w:hAnsi="Times New Roman" w:cs="Times New Roman"/>
      <w:sz w:val="24"/>
      <w:szCs w:val="20"/>
      <w:lang w:val="hu-HU" w:eastAsia="hr-HR"/>
    </w:rPr>
  </w:style>
  <w:style w:type="paragraph" w:styleId="Footer">
    <w:name w:val="footer"/>
    <w:basedOn w:val="Normal"/>
    <w:link w:val="FooterChar"/>
    <w:uiPriority w:val="99"/>
    <w:unhideWhenUsed/>
    <w:rsid w:val="003E17D4"/>
    <w:pPr>
      <w:tabs>
        <w:tab w:val="center" w:pos="4680"/>
        <w:tab w:val="right" w:pos="9360"/>
      </w:tabs>
    </w:pPr>
  </w:style>
  <w:style w:type="character" w:customStyle="1" w:styleId="FooterChar">
    <w:name w:val="Footer Char"/>
    <w:basedOn w:val="DefaultParagraphFont"/>
    <w:link w:val="Footer"/>
    <w:uiPriority w:val="99"/>
    <w:rsid w:val="003E17D4"/>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E1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E17D4"/>
    <w:rPr>
      <w:rFonts w:ascii="Courier New" w:eastAsia="Times New Roman" w:hAnsi="Courier New" w:cs="Courier New"/>
      <w:sz w:val="20"/>
      <w:szCs w:val="20"/>
    </w:rPr>
  </w:style>
  <w:style w:type="paragraph" w:styleId="Header">
    <w:name w:val="header"/>
    <w:basedOn w:val="Normal"/>
    <w:link w:val="HeaderChar"/>
    <w:uiPriority w:val="99"/>
    <w:unhideWhenUsed/>
    <w:rsid w:val="00EA3E81"/>
    <w:pPr>
      <w:tabs>
        <w:tab w:val="center" w:pos="4680"/>
        <w:tab w:val="right" w:pos="9360"/>
      </w:tabs>
    </w:pPr>
  </w:style>
  <w:style w:type="character" w:customStyle="1" w:styleId="HeaderChar">
    <w:name w:val="Header Char"/>
    <w:basedOn w:val="DefaultParagraphFont"/>
    <w:link w:val="Header"/>
    <w:uiPriority w:val="99"/>
    <w:rsid w:val="00EA3E81"/>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Petrovic</dc:creator>
  <cp:keywords/>
  <dc:description/>
  <cp:lastModifiedBy>Nikola Kiurski</cp:lastModifiedBy>
  <cp:revision>11</cp:revision>
  <cp:lastPrinted>2015-12-17T12:50:00Z</cp:lastPrinted>
  <dcterms:created xsi:type="dcterms:W3CDTF">2015-09-29T08:03:00Z</dcterms:created>
  <dcterms:modified xsi:type="dcterms:W3CDTF">2015-12-17T12:50:00Z</dcterms:modified>
</cp:coreProperties>
</file>